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E038" w14:textId="6B51BF99" w:rsidR="00F57822" w:rsidRPr="00893E71" w:rsidRDefault="00893E71" w:rsidP="00893E71">
      <w:pPr>
        <w:ind w:firstLine="0"/>
        <w:jc w:val="right"/>
        <w:rPr>
          <w:b/>
          <w:bCs/>
        </w:rPr>
      </w:pPr>
      <w:r w:rsidRPr="00893E71">
        <w:rPr>
          <w:b/>
          <w:bCs/>
        </w:rPr>
        <w:t>Viernes, 16 de octubre de 2026</w:t>
      </w:r>
    </w:p>
    <w:p w14:paraId="15E056DF" w14:textId="77777777" w:rsidR="00893E71" w:rsidRPr="00893E71" w:rsidRDefault="00893E71" w:rsidP="00893E71">
      <w:pPr>
        <w:rPr>
          <w:b/>
          <w:bCs/>
        </w:rPr>
      </w:pPr>
    </w:p>
    <w:p w14:paraId="39A86928" w14:textId="77777777" w:rsidR="00893E71" w:rsidRPr="00893E71" w:rsidRDefault="00893E71" w:rsidP="00893E71">
      <w:pPr>
        <w:ind w:firstLine="0"/>
        <w:jc w:val="center"/>
        <w:rPr>
          <w:b/>
          <w:bCs/>
        </w:rPr>
      </w:pPr>
      <w:r w:rsidRPr="00893E71">
        <w:rPr>
          <w:b/>
          <w:bCs/>
        </w:rPr>
        <w:t>RECOMENDACIONES</w:t>
      </w:r>
    </w:p>
    <w:p w14:paraId="0CD703D1" w14:textId="77777777" w:rsidR="00893E71" w:rsidRPr="00893E71" w:rsidRDefault="00893E71" w:rsidP="00893E71">
      <w:pPr>
        <w:jc w:val="center"/>
        <w:rPr>
          <w:b/>
          <w:bCs/>
        </w:rPr>
      </w:pPr>
    </w:p>
    <w:p w14:paraId="4A0563AD" w14:textId="4BCDC87A" w:rsidR="00893E71" w:rsidRDefault="00893E71" w:rsidP="00893E71">
      <w:pPr>
        <w:ind w:firstLine="0"/>
        <w:jc w:val="center"/>
        <w:rPr>
          <w:b/>
          <w:bCs/>
        </w:rPr>
      </w:pPr>
      <w:r w:rsidRPr="00893E71">
        <w:rPr>
          <w:b/>
          <w:bCs/>
        </w:rPr>
        <w:t>PARLAMENTO EUROPEO</w:t>
      </w:r>
    </w:p>
    <w:p w14:paraId="3D54FC51" w14:textId="77777777" w:rsidR="00893E71" w:rsidRPr="00893E71" w:rsidRDefault="00893E71" w:rsidP="00893E71">
      <w:pPr>
        <w:ind w:firstLine="0"/>
        <w:jc w:val="center"/>
        <w:rPr>
          <w:b/>
          <w:bCs/>
        </w:rPr>
      </w:pPr>
    </w:p>
    <w:p w14:paraId="714257E4" w14:textId="4AD915A4" w:rsidR="00893E71" w:rsidRPr="00893E71" w:rsidRDefault="00893E71" w:rsidP="00893E71">
      <w:pPr>
        <w:ind w:firstLine="0"/>
        <w:rPr>
          <w:b/>
          <w:bCs/>
        </w:rPr>
      </w:pPr>
      <w:r w:rsidRPr="00893E71">
        <w:rPr>
          <w:b/>
          <w:bCs/>
        </w:rPr>
        <w:t xml:space="preserve">Recomendación del Parlamento Europeo, de 16 de octubre de 2026, al Consejo, a la Comisión y a la </w:t>
      </w:r>
      <w:r w:rsidR="00EE358F">
        <w:rPr>
          <w:b/>
          <w:bCs/>
        </w:rPr>
        <w:t>V</w:t>
      </w:r>
      <w:r w:rsidRPr="00893E71">
        <w:rPr>
          <w:b/>
          <w:bCs/>
        </w:rPr>
        <w:t xml:space="preserve">icepresidenta de la Comisión / </w:t>
      </w:r>
      <w:r w:rsidR="00EE358F">
        <w:rPr>
          <w:b/>
          <w:bCs/>
        </w:rPr>
        <w:t>A</w:t>
      </w:r>
      <w:r w:rsidRPr="00893E71">
        <w:rPr>
          <w:b/>
          <w:bCs/>
        </w:rPr>
        <w:t xml:space="preserve">lta </w:t>
      </w:r>
      <w:r w:rsidR="00EE358F">
        <w:rPr>
          <w:b/>
          <w:bCs/>
        </w:rPr>
        <w:t>R</w:t>
      </w:r>
      <w:r w:rsidRPr="00893E71">
        <w:rPr>
          <w:b/>
          <w:bCs/>
        </w:rPr>
        <w:t>epresentante de la Unión para Asuntos Exteriores y Política de Seguridad, sobre el refuerzo de la Seguridad y Defensa de la Unión Europea</w:t>
      </w:r>
    </w:p>
    <w:p w14:paraId="1932BBFE" w14:textId="77777777" w:rsidR="00893E71" w:rsidRPr="00893E71" w:rsidRDefault="00893E71" w:rsidP="00893E71">
      <w:pPr>
        <w:jc w:val="center"/>
      </w:pPr>
      <w:r w:rsidRPr="00893E71">
        <w:t>(2026/01)</w:t>
      </w:r>
    </w:p>
    <w:p w14:paraId="4B3DAA57" w14:textId="4969D432" w:rsidR="00893E71" w:rsidRDefault="00893E71" w:rsidP="00893E71">
      <w:pPr>
        <w:ind w:firstLine="0"/>
      </w:pPr>
      <w:r>
        <w:t>El Parlamento Europeo:</w:t>
      </w:r>
    </w:p>
    <w:p w14:paraId="43E24DB6" w14:textId="5C48FD6A" w:rsidR="00893E71" w:rsidRDefault="00893E71" w:rsidP="00893E71">
      <w:pPr>
        <w:pStyle w:val="Prrafodelista"/>
        <w:numPr>
          <w:ilvl w:val="0"/>
          <w:numId w:val="1"/>
        </w:numPr>
      </w:pPr>
      <w:r w:rsidRPr="00893E71">
        <w:t>Visto el Tratado de la Unión Europea (TUE), y en particular sus artículos 21, 24, 42 y 43, relativos a la acción exterior de la Unión, la política exterior y de seguridad común y la política común de seguridad y defensa,</w:t>
      </w:r>
    </w:p>
    <w:p w14:paraId="71D44C47" w14:textId="77777777" w:rsidR="00893E71" w:rsidRPr="00893E71" w:rsidRDefault="00893E71" w:rsidP="00893E71">
      <w:pPr>
        <w:pStyle w:val="Prrafodelista"/>
        <w:ind w:firstLine="0"/>
      </w:pPr>
    </w:p>
    <w:p w14:paraId="29EC6DCD" w14:textId="726B9FA9" w:rsidR="00893E71" w:rsidRDefault="00893E71" w:rsidP="00893E71">
      <w:pPr>
        <w:pStyle w:val="Prrafodelista"/>
        <w:numPr>
          <w:ilvl w:val="0"/>
          <w:numId w:val="1"/>
        </w:numPr>
      </w:pPr>
      <w:r w:rsidRPr="00893E71">
        <w:t>Vistos los artículos 222 y 346 del Tratado de Funcionamiento de la Unión Europea (TFUE), relativos a la cláusula de solidaridad y a determinados intereses esenciales de seguridad de los Estados miembros,</w:t>
      </w:r>
    </w:p>
    <w:p w14:paraId="1F877050" w14:textId="77777777" w:rsidR="00893E71" w:rsidRPr="00893E71" w:rsidRDefault="00893E71" w:rsidP="00893E71">
      <w:pPr>
        <w:pStyle w:val="Prrafodelista"/>
        <w:ind w:firstLine="0"/>
      </w:pPr>
    </w:p>
    <w:p w14:paraId="141C7F24" w14:textId="397FC7FC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Vista la Carta de los Derechos Fundamentales de la Unión Europea, y en particular sus artículos 7, 8 y 47, relativos al respeto de la vida privada, la protección de los datos personales y el derecho a la tutela judicial efectiva,</w:t>
      </w:r>
    </w:p>
    <w:p w14:paraId="71B50A89" w14:textId="77777777" w:rsidR="00893E71" w:rsidRDefault="00893E71" w:rsidP="00893E71">
      <w:pPr>
        <w:pStyle w:val="Prrafodelista"/>
        <w:ind w:firstLine="0"/>
      </w:pPr>
    </w:p>
    <w:p w14:paraId="717F555C" w14:textId="7627D8CC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Vista la Brújula Estratégica para la Seguridad y la Defensa, aprobada por el Consejo de la Unión Europea el 21 de marzo de 2022,</w:t>
      </w:r>
    </w:p>
    <w:p w14:paraId="521FB32C" w14:textId="77777777" w:rsidR="00893E71" w:rsidRDefault="00893E71" w:rsidP="00893E71">
      <w:pPr>
        <w:pStyle w:val="Prrafodelista"/>
        <w:ind w:firstLine="0"/>
      </w:pPr>
    </w:p>
    <w:p w14:paraId="2A5B1313" w14:textId="4962107F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Visto el Libro Blanco conjunto sobre la preparación de la defensa europea para 2030 (White Paper for European Defence – Readiness 2030), presentado por la Comisión Europea y la alta representante de la Unión para Asuntos Exteriores y Política de Seguridad el 19 de marzo de 2025,</w:t>
      </w:r>
    </w:p>
    <w:p w14:paraId="031DA7B5" w14:textId="77777777" w:rsidR="00893E71" w:rsidRDefault="00893E71" w:rsidP="00893E71">
      <w:pPr>
        <w:pStyle w:val="Prrafodelista"/>
        <w:ind w:firstLine="0"/>
      </w:pPr>
    </w:p>
    <w:p w14:paraId="02F78990" w14:textId="51AA08BA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Visto el Reglamento (UE) 2025/1106 del Consejo, de 27 de mayo de 2025, por el que se establece la Acción de Seguridad para Europa (SAFE) mediante el refuerzo de la industria europea de defensa,</w:t>
      </w:r>
    </w:p>
    <w:p w14:paraId="51B48C22" w14:textId="77777777" w:rsidR="00893E71" w:rsidRDefault="00893E71" w:rsidP="00893E71">
      <w:pPr>
        <w:pStyle w:val="Prrafodelista"/>
        <w:ind w:firstLine="0"/>
      </w:pPr>
    </w:p>
    <w:p w14:paraId="6D64FBA1" w14:textId="23B77FF4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Vista la Hoja de Ruta para la Preparación de la Defensa 2030, presentada por la Comisión Europea y la alta representante de la Unión en octubre de 2025,</w:t>
      </w:r>
    </w:p>
    <w:p w14:paraId="6F3C0A4E" w14:textId="77777777" w:rsidR="00893E71" w:rsidRDefault="00893E71" w:rsidP="00893E71">
      <w:pPr>
        <w:pStyle w:val="Prrafodelista"/>
        <w:ind w:firstLine="0"/>
      </w:pPr>
    </w:p>
    <w:p w14:paraId="561630AC" w14:textId="1B503633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Vistas las Conclusiones del Consejo Europeo de 23 de octubre de 2025 sobre la seguridad y la defensa europeas,</w:t>
      </w:r>
    </w:p>
    <w:p w14:paraId="3CD0891B" w14:textId="77777777" w:rsidR="00893E71" w:rsidRDefault="00893E71" w:rsidP="00893E71">
      <w:pPr>
        <w:pStyle w:val="Prrafodelista"/>
        <w:ind w:firstLine="0"/>
      </w:pPr>
    </w:p>
    <w:p w14:paraId="2C561785" w14:textId="6D6452FC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Vistas las iniciativas de la Unión relativas al refuerzo de la movilidad militar, el desarrollo de la industria europea de defensa, la innovación tecnológica y la cooperación en materia de adquisición de capacidades militares,</w:t>
      </w:r>
    </w:p>
    <w:p w14:paraId="5B6FD346" w14:textId="77777777" w:rsidR="00893E71" w:rsidRDefault="00893E71" w:rsidP="00893E71">
      <w:pPr>
        <w:pStyle w:val="Prrafodelista"/>
        <w:ind w:firstLine="0"/>
      </w:pPr>
    </w:p>
    <w:p w14:paraId="7DD10568" w14:textId="27289884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Vistas las resoluciones pertinentes del Consejo de Seguridad de las Naciones Unidas sobre el mantenimiento de la paz y la seguridad internacionales, así como la Carta de las Naciones Unidas y los principios del Derecho internacional humanitario,</w:t>
      </w:r>
    </w:p>
    <w:p w14:paraId="56C95A8B" w14:textId="666DA7FB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lastRenderedPageBreak/>
        <w:t>Vista la cooperación entre la Unión Europea y la Organización del Tratado del Atlántico Norte (OTAN), basada en la complementariedad, la coordinación y el respeto de las competencias y obligaciones respectivas,</w:t>
      </w:r>
    </w:p>
    <w:p w14:paraId="2FF86FC6" w14:textId="77777777" w:rsidR="00893E71" w:rsidRDefault="00893E71" w:rsidP="00893E71">
      <w:pPr>
        <w:pStyle w:val="Prrafodelista"/>
        <w:ind w:firstLine="0"/>
      </w:pPr>
    </w:p>
    <w:p w14:paraId="05A378C4" w14:textId="40BF0C41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 xml:space="preserve">Vistos los riesgos derivados de </w:t>
      </w:r>
      <w:r>
        <w:t>los conflictos bélicos</w:t>
      </w:r>
      <w:r w:rsidRPr="00893E71">
        <w:t>, las amenazas híbridas, los ciberataques, los actos de sabotaje, la desinformación y las amenazas contra las infraestructuras críticas europeas,</w:t>
      </w:r>
    </w:p>
    <w:p w14:paraId="2D825912" w14:textId="77777777" w:rsidR="00893E71" w:rsidRDefault="00893E71" w:rsidP="00893E71">
      <w:pPr>
        <w:pStyle w:val="Prrafodelista"/>
        <w:ind w:firstLine="0"/>
      </w:pPr>
    </w:p>
    <w:p w14:paraId="1895E281" w14:textId="0CDFD99E" w:rsidR="00893E71" w:rsidRPr="00893E71" w:rsidRDefault="00893E71" w:rsidP="00893E71">
      <w:pPr>
        <w:pStyle w:val="Prrafodelista"/>
        <w:numPr>
          <w:ilvl w:val="0"/>
          <w:numId w:val="1"/>
        </w:numPr>
      </w:pPr>
      <w:r w:rsidRPr="00893E71">
        <w:t>Vistos los avances tecnológicos en inteligencia artificial, sistemas autónomos, capacidades espaciales, tecnologías cuánticas y sistemas aéreos no tripulados, así como sus implicaciones para la seguridad y la defensa,</w:t>
      </w:r>
    </w:p>
    <w:p w14:paraId="4A6A3F71" w14:textId="77777777" w:rsidR="00893E71" w:rsidRDefault="00893E71" w:rsidP="00893E71">
      <w:pPr>
        <w:pStyle w:val="Prrafodelista"/>
        <w:ind w:firstLine="0"/>
      </w:pPr>
    </w:p>
    <w:p w14:paraId="77DF42B0" w14:textId="77777777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>Considerando que la seguridad de la Unión Europea constituye una condición indispensable para la protección de sus ciudadanos, el funcionamiento de sus instituciones democráticas, la estabilidad de su economía y la defensa de sus valores fundamentales;</w:t>
      </w:r>
    </w:p>
    <w:p w14:paraId="0031EE01" w14:textId="77777777" w:rsidR="00893E71" w:rsidRDefault="00893E71" w:rsidP="00893E71">
      <w:pPr>
        <w:pStyle w:val="Prrafodelista"/>
        <w:ind w:firstLine="0"/>
      </w:pPr>
    </w:p>
    <w:p w14:paraId="2A5ED749" w14:textId="77777777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 xml:space="preserve">Considerando que el contexto geopolítico europeo se ha deteriorado como consecuencia de </w:t>
      </w:r>
      <w:r>
        <w:t>los conflictos armados activos a escala internacional,</w:t>
      </w:r>
      <w:r w:rsidRPr="00893E71">
        <w:t xml:space="preserve"> de la inestabilidad en las regiones vecinas y de la creciente competencia estratégica entre las principales potencias mundiales;</w:t>
      </w:r>
    </w:p>
    <w:p w14:paraId="1375DDB8" w14:textId="77777777" w:rsidR="00893E71" w:rsidRDefault="00893E71" w:rsidP="00893E71">
      <w:pPr>
        <w:pStyle w:val="Prrafodelista"/>
      </w:pPr>
    </w:p>
    <w:p w14:paraId="3CA7CFCD" w14:textId="77777777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>Considerando que la Unión debe reforzar su capacidad para prevenir conflictos, disuadir amenazas, gestionar crisis y responder de manera coordinada a situaciones que pongan en peligro su seguridad, sin perjuicio de las competencias de los Estados miembros en materia de defensa nacional;</w:t>
      </w:r>
    </w:p>
    <w:p w14:paraId="0CDBBA00" w14:textId="77777777" w:rsidR="00893E71" w:rsidRDefault="00893E71" w:rsidP="00893E71">
      <w:pPr>
        <w:pStyle w:val="Prrafodelista"/>
      </w:pPr>
    </w:p>
    <w:p w14:paraId="72894523" w14:textId="77777777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>Considerando que la defensa europea continúa dependiendo en determinados ámbitos de capacidades, suministros, tecnologías y cadenas de producción procedentes de terceros países, lo que puede limitar la autonomía de actuación de la Unión en situaciones de crisis;</w:t>
      </w:r>
    </w:p>
    <w:p w14:paraId="172E4189" w14:textId="77777777" w:rsidR="00893E71" w:rsidRDefault="00893E71" w:rsidP="00893E71">
      <w:pPr>
        <w:pStyle w:val="Prrafodelista"/>
      </w:pPr>
    </w:p>
    <w:p w14:paraId="589E58AF" w14:textId="77777777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>Considerando que el Libro Blanco sobre la preparación de la defensa europea para 2030 y la iniciativa SAFE constituyen instrumentos relevantes para aumentar la inversión, fortalecer la base tecnológica e industrial europea de defensa y promover la adquisición conjunta de equipos y capacidades militares;</w:t>
      </w:r>
    </w:p>
    <w:p w14:paraId="4DBD12FB" w14:textId="77777777" w:rsidR="00893E71" w:rsidRDefault="00893E71" w:rsidP="00893E71">
      <w:pPr>
        <w:pStyle w:val="Prrafodelista"/>
      </w:pPr>
    </w:p>
    <w:p w14:paraId="59BA9424" w14:textId="77777777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>Considerando que las amenazas contra la seguridad europea ya no se limitan a las operaciones militares convencionales, sino que incluyen ciberataques, sabotajes, interferencias en sistemas de navegación, campañas de desinformación, instrumentalización de dependencias económicas y ataques contra infraestructuras energéticas, digitales y de transporte;</w:t>
      </w:r>
    </w:p>
    <w:p w14:paraId="65D21C51" w14:textId="77777777" w:rsidR="00893E71" w:rsidRDefault="00893E71" w:rsidP="00893E71">
      <w:pPr>
        <w:pStyle w:val="Prrafodelista"/>
      </w:pPr>
    </w:p>
    <w:p w14:paraId="4F5848E5" w14:textId="136EFC77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>Considerando que la inteligencia artificial, los drones, los sistemas autónomos, las tecnologías espaciales y las capacidades de ciberguerra están transformando las operaciones militares y hacen necesario acelerar la investigación, la innovación, la formación especializada y la adaptación de las doctrinas de defensa;</w:t>
      </w:r>
    </w:p>
    <w:p w14:paraId="6DDFA0D5" w14:textId="77777777" w:rsidR="00893E71" w:rsidRDefault="00893E71" w:rsidP="00893E71">
      <w:pPr>
        <w:pStyle w:val="Prrafodelista"/>
      </w:pPr>
    </w:p>
    <w:p w14:paraId="67812B04" w14:textId="334FC978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>Considerando que el fortalecimiento de las capacidades de defensa debe respetar los derechos fundamentales, el Estado de Derecho, el control democrático, el Derecho internacional humanitario y los principios de necesidad, proporcionalidad y rendición de cuentas;</w:t>
      </w:r>
    </w:p>
    <w:p w14:paraId="5DB4B451" w14:textId="77777777" w:rsidR="00893E71" w:rsidRDefault="00893E71" w:rsidP="00893E71">
      <w:pPr>
        <w:pStyle w:val="Prrafodelista"/>
      </w:pPr>
    </w:p>
    <w:p w14:paraId="380889CE" w14:textId="553973C3" w:rsidR="00893E71" w:rsidRDefault="00893E71" w:rsidP="00893E71">
      <w:pPr>
        <w:pStyle w:val="Prrafodelista"/>
        <w:numPr>
          <w:ilvl w:val="0"/>
          <w:numId w:val="2"/>
        </w:numPr>
      </w:pPr>
      <w:r w:rsidRPr="00893E71">
        <w:t>Considerando que el refuerzo de la seguridad europea exige una cooperación estructurada entre los Estados miembros</w:t>
      </w:r>
      <w:r>
        <w:t>;</w:t>
      </w:r>
    </w:p>
    <w:p w14:paraId="5B23229A" w14:textId="77777777" w:rsidR="00893E71" w:rsidRDefault="00893E71" w:rsidP="00893E71">
      <w:pPr>
        <w:ind w:left="360" w:firstLine="0"/>
      </w:pPr>
    </w:p>
    <w:p w14:paraId="440DD8F8" w14:textId="2237090F" w:rsidR="00893E71" w:rsidRDefault="00893E71" w:rsidP="00893E71">
      <w:pPr>
        <w:ind w:firstLine="0"/>
      </w:pPr>
      <w:r>
        <w:t>Formula las siguientes recomendaciones:</w:t>
      </w:r>
    </w:p>
    <w:sectPr w:rsidR="00893E7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0F29A" w14:textId="77777777" w:rsidR="001D7C97" w:rsidRDefault="001D7C97" w:rsidP="00893E71">
      <w:pPr>
        <w:spacing w:before="0" w:after="0" w:line="240" w:lineRule="auto"/>
      </w:pPr>
      <w:r>
        <w:separator/>
      </w:r>
    </w:p>
  </w:endnote>
  <w:endnote w:type="continuationSeparator" w:id="0">
    <w:p w14:paraId="5D003772" w14:textId="77777777" w:rsidR="001D7C97" w:rsidRDefault="001D7C97" w:rsidP="00893E7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formal Roman">
    <w:altName w:val="Informal Roman"/>
    <w:panose1 w:val="030604020304060B02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46272" w14:textId="77777777" w:rsidR="001D7C97" w:rsidRDefault="001D7C97" w:rsidP="00893E71">
      <w:pPr>
        <w:spacing w:before="0" w:after="0" w:line="240" w:lineRule="auto"/>
      </w:pPr>
      <w:r>
        <w:separator/>
      </w:r>
    </w:p>
  </w:footnote>
  <w:footnote w:type="continuationSeparator" w:id="0">
    <w:p w14:paraId="4B5A7CA2" w14:textId="77777777" w:rsidR="001D7C97" w:rsidRDefault="001D7C97" w:rsidP="00893E7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9140" w14:textId="01B7C46A" w:rsidR="00893E71" w:rsidRPr="00893E71" w:rsidRDefault="00893E71" w:rsidP="00893E71">
    <w:pPr>
      <w:pStyle w:val="Encabezado"/>
      <w:ind w:firstLine="0"/>
      <w:rPr>
        <w:b/>
        <w:bCs/>
      </w:rPr>
    </w:pPr>
    <w:r w:rsidRPr="00893E71">
      <w:rPr>
        <w:b/>
        <w:bCs/>
      </w:rPr>
      <w:t>16.10.26</w:t>
    </w:r>
    <w:r w:rsidRPr="00893E71">
      <w:rPr>
        <w:b/>
        <w:bCs/>
      </w:rPr>
      <w:tab/>
      <w:t>Diario Oficial de la Unión Europea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05EF"/>
    <w:multiLevelType w:val="hybridMultilevel"/>
    <w:tmpl w:val="AF40C0B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6BCB"/>
    <w:multiLevelType w:val="hybridMultilevel"/>
    <w:tmpl w:val="5538DCFA"/>
    <w:lvl w:ilvl="0" w:tplc="41107F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459847">
    <w:abstractNumId w:val="1"/>
  </w:num>
  <w:num w:numId="2" w16cid:durableId="84505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E71"/>
    <w:rsid w:val="00001DF5"/>
    <w:rsid w:val="00005C7A"/>
    <w:rsid w:val="000107FD"/>
    <w:rsid w:val="00030202"/>
    <w:rsid w:val="00030226"/>
    <w:rsid w:val="00030A79"/>
    <w:rsid w:val="00031BF9"/>
    <w:rsid w:val="00031F23"/>
    <w:rsid w:val="00033733"/>
    <w:rsid w:val="000358AA"/>
    <w:rsid w:val="000534F5"/>
    <w:rsid w:val="00055657"/>
    <w:rsid w:val="0005593A"/>
    <w:rsid w:val="000573E3"/>
    <w:rsid w:val="0006698B"/>
    <w:rsid w:val="00066A61"/>
    <w:rsid w:val="000865A7"/>
    <w:rsid w:val="00094246"/>
    <w:rsid w:val="00096DB1"/>
    <w:rsid w:val="000A0288"/>
    <w:rsid w:val="000A7068"/>
    <w:rsid w:val="000C042C"/>
    <w:rsid w:val="000C31C1"/>
    <w:rsid w:val="000C3606"/>
    <w:rsid w:val="000D4BCB"/>
    <w:rsid w:val="000D69EA"/>
    <w:rsid w:val="000E084A"/>
    <w:rsid w:val="000E581E"/>
    <w:rsid w:val="000F1285"/>
    <w:rsid w:val="000F3D48"/>
    <w:rsid w:val="0010295C"/>
    <w:rsid w:val="001034A2"/>
    <w:rsid w:val="00116B22"/>
    <w:rsid w:val="001227B3"/>
    <w:rsid w:val="00123CFE"/>
    <w:rsid w:val="00125AEA"/>
    <w:rsid w:val="00131217"/>
    <w:rsid w:val="00131835"/>
    <w:rsid w:val="0013309E"/>
    <w:rsid w:val="001358C2"/>
    <w:rsid w:val="00136E22"/>
    <w:rsid w:val="00137CB5"/>
    <w:rsid w:val="0014046A"/>
    <w:rsid w:val="00145C07"/>
    <w:rsid w:val="00153A68"/>
    <w:rsid w:val="001661DA"/>
    <w:rsid w:val="00175451"/>
    <w:rsid w:val="001807E8"/>
    <w:rsid w:val="00181AB9"/>
    <w:rsid w:val="00185227"/>
    <w:rsid w:val="001A3E76"/>
    <w:rsid w:val="001A43DC"/>
    <w:rsid w:val="001B0B83"/>
    <w:rsid w:val="001B1203"/>
    <w:rsid w:val="001B1677"/>
    <w:rsid w:val="001B1713"/>
    <w:rsid w:val="001C37AB"/>
    <w:rsid w:val="001C5927"/>
    <w:rsid w:val="001D2F8C"/>
    <w:rsid w:val="001D6929"/>
    <w:rsid w:val="001D7C97"/>
    <w:rsid w:val="001E02C6"/>
    <w:rsid w:val="001E2470"/>
    <w:rsid w:val="001E4BC9"/>
    <w:rsid w:val="001F0535"/>
    <w:rsid w:val="001F23D9"/>
    <w:rsid w:val="001F4132"/>
    <w:rsid w:val="00201762"/>
    <w:rsid w:val="00204015"/>
    <w:rsid w:val="0020750D"/>
    <w:rsid w:val="00210D97"/>
    <w:rsid w:val="00212CC7"/>
    <w:rsid w:val="002144FF"/>
    <w:rsid w:val="002150D8"/>
    <w:rsid w:val="00215F44"/>
    <w:rsid w:val="002175B7"/>
    <w:rsid w:val="00224906"/>
    <w:rsid w:val="002256CF"/>
    <w:rsid w:val="00225DCF"/>
    <w:rsid w:val="00226BAC"/>
    <w:rsid w:val="002334EB"/>
    <w:rsid w:val="00240F79"/>
    <w:rsid w:val="00244BB4"/>
    <w:rsid w:val="00245B67"/>
    <w:rsid w:val="0025006D"/>
    <w:rsid w:val="00260568"/>
    <w:rsid w:val="00261E1E"/>
    <w:rsid w:val="002717C2"/>
    <w:rsid w:val="00272817"/>
    <w:rsid w:val="00276D45"/>
    <w:rsid w:val="00280BF2"/>
    <w:rsid w:val="002851E2"/>
    <w:rsid w:val="002912D7"/>
    <w:rsid w:val="00291468"/>
    <w:rsid w:val="002A0F8E"/>
    <w:rsid w:val="002A1C8C"/>
    <w:rsid w:val="002A4461"/>
    <w:rsid w:val="002B0B3A"/>
    <w:rsid w:val="002B3D66"/>
    <w:rsid w:val="002B6A56"/>
    <w:rsid w:val="002C0B38"/>
    <w:rsid w:val="002C1012"/>
    <w:rsid w:val="002C2C22"/>
    <w:rsid w:val="002C627F"/>
    <w:rsid w:val="002C684D"/>
    <w:rsid w:val="002D3EED"/>
    <w:rsid w:val="002F14AA"/>
    <w:rsid w:val="002F3F0F"/>
    <w:rsid w:val="003005AD"/>
    <w:rsid w:val="0030291C"/>
    <w:rsid w:val="00305D0F"/>
    <w:rsid w:val="00306348"/>
    <w:rsid w:val="00310D0C"/>
    <w:rsid w:val="00324BAC"/>
    <w:rsid w:val="00334CC2"/>
    <w:rsid w:val="00336C7E"/>
    <w:rsid w:val="00336CEA"/>
    <w:rsid w:val="00337AD0"/>
    <w:rsid w:val="00346805"/>
    <w:rsid w:val="003531C8"/>
    <w:rsid w:val="00355513"/>
    <w:rsid w:val="00365361"/>
    <w:rsid w:val="00374FF5"/>
    <w:rsid w:val="00376F85"/>
    <w:rsid w:val="003826BD"/>
    <w:rsid w:val="0038613C"/>
    <w:rsid w:val="0038783D"/>
    <w:rsid w:val="0039419B"/>
    <w:rsid w:val="003A7249"/>
    <w:rsid w:val="003B70A3"/>
    <w:rsid w:val="003C2745"/>
    <w:rsid w:val="003C3CD9"/>
    <w:rsid w:val="003C50E1"/>
    <w:rsid w:val="003C7CC1"/>
    <w:rsid w:val="003D29A2"/>
    <w:rsid w:val="003D4472"/>
    <w:rsid w:val="003D583F"/>
    <w:rsid w:val="003D737B"/>
    <w:rsid w:val="003E1DF9"/>
    <w:rsid w:val="003E654F"/>
    <w:rsid w:val="003F165B"/>
    <w:rsid w:val="003F1B1F"/>
    <w:rsid w:val="003F56A8"/>
    <w:rsid w:val="003F75D6"/>
    <w:rsid w:val="00401754"/>
    <w:rsid w:val="004021E0"/>
    <w:rsid w:val="0040318A"/>
    <w:rsid w:val="00403C4C"/>
    <w:rsid w:val="00412D2C"/>
    <w:rsid w:val="00415527"/>
    <w:rsid w:val="00422E31"/>
    <w:rsid w:val="0042562E"/>
    <w:rsid w:val="00426303"/>
    <w:rsid w:val="00436DC3"/>
    <w:rsid w:val="0043798C"/>
    <w:rsid w:val="00441055"/>
    <w:rsid w:val="00450A05"/>
    <w:rsid w:val="00454F58"/>
    <w:rsid w:val="00455670"/>
    <w:rsid w:val="00464C93"/>
    <w:rsid w:val="00465E62"/>
    <w:rsid w:val="00480685"/>
    <w:rsid w:val="0048557A"/>
    <w:rsid w:val="004A51DB"/>
    <w:rsid w:val="004A6783"/>
    <w:rsid w:val="004B7CE6"/>
    <w:rsid w:val="004C22F2"/>
    <w:rsid w:val="004C6490"/>
    <w:rsid w:val="004C672F"/>
    <w:rsid w:val="004C74B6"/>
    <w:rsid w:val="004C771B"/>
    <w:rsid w:val="004D0BB7"/>
    <w:rsid w:val="004D12D4"/>
    <w:rsid w:val="004D31E6"/>
    <w:rsid w:val="004E209E"/>
    <w:rsid w:val="004E3BAD"/>
    <w:rsid w:val="004E6121"/>
    <w:rsid w:val="004F3345"/>
    <w:rsid w:val="004F48A2"/>
    <w:rsid w:val="004F6CBC"/>
    <w:rsid w:val="004F76B2"/>
    <w:rsid w:val="005073EC"/>
    <w:rsid w:val="00514C98"/>
    <w:rsid w:val="00522C28"/>
    <w:rsid w:val="00533860"/>
    <w:rsid w:val="005348ED"/>
    <w:rsid w:val="0054538D"/>
    <w:rsid w:val="00546CA5"/>
    <w:rsid w:val="00547BE3"/>
    <w:rsid w:val="0055261E"/>
    <w:rsid w:val="00553491"/>
    <w:rsid w:val="005578C0"/>
    <w:rsid w:val="00561239"/>
    <w:rsid w:val="005958CA"/>
    <w:rsid w:val="005B6B97"/>
    <w:rsid w:val="005C0564"/>
    <w:rsid w:val="005C71A7"/>
    <w:rsid w:val="005D36D7"/>
    <w:rsid w:val="005D641E"/>
    <w:rsid w:val="005E0FA9"/>
    <w:rsid w:val="005E445D"/>
    <w:rsid w:val="005E452E"/>
    <w:rsid w:val="005F6E06"/>
    <w:rsid w:val="005F74E7"/>
    <w:rsid w:val="00602D18"/>
    <w:rsid w:val="00606150"/>
    <w:rsid w:val="00613715"/>
    <w:rsid w:val="00616F55"/>
    <w:rsid w:val="00622EDA"/>
    <w:rsid w:val="00624FCA"/>
    <w:rsid w:val="00626462"/>
    <w:rsid w:val="00637F9B"/>
    <w:rsid w:val="00651FFA"/>
    <w:rsid w:val="006530E0"/>
    <w:rsid w:val="00655A6B"/>
    <w:rsid w:val="006752B9"/>
    <w:rsid w:val="00677D35"/>
    <w:rsid w:val="0068150F"/>
    <w:rsid w:val="00685453"/>
    <w:rsid w:val="006902AD"/>
    <w:rsid w:val="00691961"/>
    <w:rsid w:val="00695A99"/>
    <w:rsid w:val="006A3108"/>
    <w:rsid w:val="006A7385"/>
    <w:rsid w:val="006B2A3C"/>
    <w:rsid w:val="006B489D"/>
    <w:rsid w:val="006B6583"/>
    <w:rsid w:val="006C19C0"/>
    <w:rsid w:val="006C1DC7"/>
    <w:rsid w:val="006D149A"/>
    <w:rsid w:val="006D57F6"/>
    <w:rsid w:val="006E2E3F"/>
    <w:rsid w:val="006E4C77"/>
    <w:rsid w:val="006F5FAC"/>
    <w:rsid w:val="006F63E5"/>
    <w:rsid w:val="00711FEB"/>
    <w:rsid w:val="0071348A"/>
    <w:rsid w:val="007157A7"/>
    <w:rsid w:val="007160C8"/>
    <w:rsid w:val="007247F7"/>
    <w:rsid w:val="00725A52"/>
    <w:rsid w:val="00727B8E"/>
    <w:rsid w:val="00731727"/>
    <w:rsid w:val="007375E2"/>
    <w:rsid w:val="0074109A"/>
    <w:rsid w:val="0074290E"/>
    <w:rsid w:val="0074332F"/>
    <w:rsid w:val="0074637A"/>
    <w:rsid w:val="007515C2"/>
    <w:rsid w:val="00756CAB"/>
    <w:rsid w:val="00761EE3"/>
    <w:rsid w:val="00771B3A"/>
    <w:rsid w:val="00773165"/>
    <w:rsid w:val="00774C1D"/>
    <w:rsid w:val="00785F1B"/>
    <w:rsid w:val="00791F7E"/>
    <w:rsid w:val="00792050"/>
    <w:rsid w:val="00794185"/>
    <w:rsid w:val="007A22BA"/>
    <w:rsid w:val="007B2C45"/>
    <w:rsid w:val="007B59E7"/>
    <w:rsid w:val="007C5CF6"/>
    <w:rsid w:val="007D16CB"/>
    <w:rsid w:val="007D2038"/>
    <w:rsid w:val="007E2B79"/>
    <w:rsid w:val="007E7FC2"/>
    <w:rsid w:val="007F1A0F"/>
    <w:rsid w:val="007F2CE1"/>
    <w:rsid w:val="007F40D5"/>
    <w:rsid w:val="007F6331"/>
    <w:rsid w:val="00807578"/>
    <w:rsid w:val="00812602"/>
    <w:rsid w:val="0081476A"/>
    <w:rsid w:val="00830E68"/>
    <w:rsid w:val="0083324D"/>
    <w:rsid w:val="00834C9C"/>
    <w:rsid w:val="00837DE0"/>
    <w:rsid w:val="00840237"/>
    <w:rsid w:val="00842C8B"/>
    <w:rsid w:val="0086103D"/>
    <w:rsid w:val="008739DD"/>
    <w:rsid w:val="0088185B"/>
    <w:rsid w:val="00882385"/>
    <w:rsid w:val="00884E06"/>
    <w:rsid w:val="00887A9B"/>
    <w:rsid w:val="00890619"/>
    <w:rsid w:val="00890E9B"/>
    <w:rsid w:val="0089198B"/>
    <w:rsid w:val="00893E71"/>
    <w:rsid w:val="008A01CF"/>
    <w:rsid w:val="008A5FAA"/>
    <w:rsid w:val="008B627C"/>
    <w:rsid w:val="008D27B4"/>
    <w:rsid w:val="008D6C43"/>
    <w:rsid w:val="008D7FEC"/>
    <w:rsid w:val="008F2207"/>
    <w:rsid w:val="008F3BAE"/>
    <w:rsid w:val="009006BC"/>
    <w:rsid w:val="00903646"/>
    <w:rsid w:val="0090678D"/>
    <w:rsid w:val="00907F58"/>
    <w:rsid w:val="00921680"/>
    <w:rsid w:val="009225B5"/>
    <w:rsid w:val="00922D6E"/>
    <w:rsid w:val="0092692A"/>
    <w:rsid w:val="0093106C"/>
    <w:rsid w:val="0093696B"/>
    <w:rsid w:val="009415B5"/>
    <w:rsid w:val="0094659F"/>
    <w:rsid w:val="00951D81"/>
    <w:rsid w:val="00952CBB"/>
    <w:rsid w:val="009574DB"/>
    <w:rsid w:val="00957877"/>
    <w:rsid w:val="00957BC3"/>
    <w:rsid w:val="00957D2B"/>
    <w:rsid w:val="00963139"/>
    <w:rsid w:val="009636F7"/>
    <w:rsid w:val="00971593"/>
    <w:rsid w:val="00986004"/>
    <w:rsid w:val="00992E83"/>
    <w:rsid w:val="00995F11"/>
    <w:rsid w:val="009B4D10"/>
    <w:rsid w:val="009B4FE4"/>
    <w:rsid w:val="009B5CFD"/>
    <w:rsid w:val="009B7DB5"/>
    <w:rsid w:val="009C3572"/>
    <w:rsid w:val="009D1169"/>
    <w:rsid w:val="009D739B"/>
    <w:rsid w:val="009F0B20"/>
    <w:rsid w:val="009F4C69"/>
    <w:rsid w:val="009F7C23"/>
    <w:rsid w:val="00A006E6"/>
    <w:rsid w:val="00A00DB6"/>
    <w:rsid w:val="00A0561A"/>
    <w:rsid w:val="00A107C5"/>
    <w:rsid w:val="00A16497"/>
    <w:rsid w:val="00A17747"/>
    <w:rsid w:val="00A24743"/>
    <w:rsid w:val="00A25251"/>
    <w:rsid w:val="00A26118"/>
    <w:rsid w:val="00A348E3"/>
    <w:rsid w:val="00A37321"/>
    <w:rsid w:val="00A37AD8"/>
    <w:rsid w:val="00A41415"/>
    <w:rsid w:val="00A4610B"/>
    <w:rsid w:val="00A502B1"/>
    <w:rsid w:val="00A653DA"/>
    <w:rsid w:val="00A7396F"/>
    <w:rsid w:val="00A82F9A"/>
    <w:rsid w:val="00A97A4B"/>
    <w:rsid w:val="00AA27DD"/>
    <w:rsid w:val="00AA61C0"/>
    <w:rsid w:val="00AA6BD6"/>
    <w:rsid w:val="00AB004A"/>
    <w:rsid w:val="00AB20E8"/>
    <w:rsid w:val="00AB239D"/>
    <w:rsid w:val="00AC2C71"/>
    <w:rsid w:val="00AC456B"/>
    <w:rsid w:val="00AD4A53"/>
    <w:rsid w:val="00AD6D14"/>
    <w:rsid w:val="00AE1BA6"/>
    <w:rsid w:val="00AE71CF"/>
    <w:rsid w:val="00AE7203"/>
    <w:rsid w:val="00B03F7E"/>
    <w:rsid w:val="00B071FF"/>
    <w:rsid w:val="00B10CCD"/>
    <w:rsid w:val="00B15EFF"/>
    <w:rsid w:val="00B2103C"/>
    <w:rsid w:val="00B25F5B"/>
    <w:rsid w:val="00B333D3"/>
    <w:rsid w:val="00B34F30"/>
    <w:rsid w:val="00B40810"/>
    <w:rsid w:val="00B40A64"/>
    <w:rsid w:val="00B41738"/>
    <w:rsid w:val="00B42393"/>
    <w:rsid w:val="00B45CFC"/>
    <w:rsid w:val="00B50A96"/>
    <w:rsid w:val="00B5710D"/>
    <w:rsid w:val="00B6207A"/>
    <w:rsid w:val="00B63DD0"/>
    <w:rsid w:val="00B65FC9"/>
    <w:rsid w:val="00B72AFC"/>
    <w:rsid w:val="00B9163C"/>
    <w:rsid w:val="00B9556A"/>
    <w:rsid w:val="00B9709D"/>
    <w:rsid w:val="00BB46C0"/>
    <w:rsid w:val="00BB59CC"/>
    <w:rsid w:val="00BB5ACC"/>
    <w:rsid w:val="00BC5A9D"/>
    <w:rsid w:val="00BD1D4E"/>
    <w:rsid w:val="00BE47C1"/>
    <w:rsid w:val="00BE4B82"/>
    <w:rsid w:val="00BF5509"/>
    <w:rsid w:val="00BF6FB3"/>
    <w:rsid w:val="00C0134E"/>
    <w:rsid w:val="00C0664C"/>
    <w:rsid w:val="00C121DF"/>
    <w:rsid w:val="00C2551A"/>
    <w:rsid w:val="00C45AA5"/>
    <w:rsid w:val="00C50BD0"/>
    <w:rsid w:val="00C561D4"/>
    <w:rsid w:val="00C6024F"/>
    <w:rsid w:val="00C678C6"/>
    <w:rsid w:val="00C71685"/>
    <w:rsid w:val="00C80E50"/>
    <w:rsid w:val="00C816FF"/>
    <w:rsid w:val="00C87AD7"/>
    <w:rsid w:val="00C925BD"/>
    <w:rsid w:val="00C92E7D"/>
    <w:rsid w:val="00C9425F"/>
    <w:rsid w:val="00CA77EC"/>
    <w:rsid w:val="00CB1727"/>
    <w:rsid w:val="00CB3E6C"/>
    <w:rsid w:val="00CB513B"/>
    <w:rsid w:val="00CD13D3"/>
    <w:rsid w:val="00CD5411"/>
    <w:rsid w:val="00CD5BE6"/>
    <w:rsid w:val="00CD630F"/>
    <w:rsid w:val="00CF6B1F"/>
    <w:rsid w:val="00D04968"/>
    <w:rsid w:val="00D14B3D"/>
    <w:rsid w:val="00D214CD"/>
    <w:rsid w:val="00D223E1"/>
    <w:rsid w:val="00D22ED8"/>
    <w:rsid w:val="00D30794"/>
    <w:rsid w:val="00D37719"/>
    <w:rsid w:val="00D37A11"/>
    <w:rsid w:val="00D4240D"/>
    <w:rsid w:val="00D5271A"/>
    <w:rsid w:val="00D57460"/>
    <w:rsid w:val="00D60DBB"/>
    <w:rsid w:val="00D62E61"/>
    <w:rsid w:val="00D70E3C"/>
    <w:rsid w:val="00D74205"/>
    <w:rsid w:val="00D77926"/>
    <w:rsid w:val="00D806D7"/>
    <w:rsid w:val="00D834CB"/>
    <w:rsid w:val="00D84168"/>
    <w:rsid w:val="00D87F3A"/>
    <w:rsid w:val="00D922CF"/>
    <w:rsid w:val="00D96BCD"/>
    <w:rsid w:val="00DA12B9"/>
    <w:rsid w:val="00DA1A2C"/>
    <w:rsid w:val="00DA32CE"/>
    <w:rsid w:val="00DA543D"/>
    <w:rsid w:val="00DA63F9"/>
    <w:rsid w:val="00DA68AE"/>
    <w:rsid w:val="00DB24ED"/>
    <w:rsid w:val="00DC27A3"/>
    <w:rsid w:val="00DE07DE"/>
    <w:rsid w:val="00DE1727"/>
    <w:rsid w:val="00DE3108"/>
    <w:rsid w:val="00DF17E5"/>
    <w:rsid w:val="00DF7C58"/>
    <w:rsid w:val="00E00B53"/>
    <w:rsid w:val="00E25E0F"/>
    <w:rsid w:val="00E36944"/>
    <w:rsid w:val="00E41DD3"/>
    <w:rsid w:val="00E42E37"/>
    <w:rsid w:val="00E60861"/>
    <w:rsid w:val="00E62149"/>
    <w:rsid w:val="00E73CDC"/>
    <w:rsid w:val="00E8444D"/>
    <w:rsid w:val="00E86A6B"/>
    <w:rsid w:val="00E90E01"/>
    <w:rsid w:val="00E95EE1"/>
    <w:rsid w:val="00E965B2"/>
    <w:rsid w:val="00EC1F4D"/>
    <w:rsid w:val="00EC33C8"/>
    <w:rsid w:val="00EC4039"/>
    <w:rsid w:val="00EC661E"/>
    <w:rsid w:val="00ED0C0B"/>
    <w:rsid w:val="00ED3C8E"/>
    <w:rsid w:val="00EE1FAF"/>
    <w:rsid w:val="00EE2A0C"/>
    <w:rsid w:val="00EE358F"/>
    <w:rsid w:val="00EE4E18"/>
    <w:rsid w:val="00EE56F1"/>
    <w:rsid w:val="00EF07E7"/>
    <w:rsid w:val="00EF74F9"/>
    <w:rsid w:val="00F046AF"/>
    <w:rsid w:val="00F11BC5"/>
    <w:rsid w:val="00F14283"/>
    <w:rsid w:val="00F145CA"/>
    <w:rsid w:val="00F2360B"/>
    <w:rsid w:val="00F36E9E"/>
    <w:rsid w:val="00F454B2"/>
    <w:rsid w:val="00F46BE9"/>
    <w:rsid w:val="00F474B1"/>
    <w:rsid w:val="00F51D00"/>
    <w:rsid w:val="00F546A0"/>
    <w:rsid w:val="00F57822"/>
    <w:rsid w:val="00F60367"/>
    <w:rsid w:val="00F60B86"/>
    <w:rsid w:val="00F632CB"/>
    <w:rsid w:val="00F70689"/>
    <w:rsid w:val="00F81DC1"/>
    <w:rsid w:val="00F821EA"/>
    <w:rsid w:val="00F928F3"/>
    <w:rsid w:val="00FB3B7B"/>
    <w:rsid w:val="00FB4953"/>
    <w:rsid w:val="00FB6020"/>
    <w:rsid w:val="00FB797C"/>
    <w:rsid w:val="00FC073C"/>
    <w:rsid w:val="00FC1DB1"/>
    <w:rsid w:val="00FC33B9"/>
    <w:rsid w:val="00FD0EEF"/>
    <w:rsid w:val="00FD5097"/>
    <w:rsid w:val="00FD55D4"/>
    <w:rsid w:val="00FE25FF"/>
    <w:rsid w:val="00FE46C9"/>
    <w:rsid w:val="00FE6254"/>
    <w:rsid w:val="00FF473F"/>
    <w:rsid w:val="00F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AC872"/>
  <w15:chartTrackingRefBased/>
  <w15:docId w15:val="{85D2B160-052C-45A3-BFCB-F00104A7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285"/>
    <w:pPr>
      <w:spacing w:before="120" w:after="60" w:line="259" w:lineRule="auto"/>
      <w:ind w:firstLine="709"/>
      <w:jc w:val="both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93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93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3E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E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E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3E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E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E7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E7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3E7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3E7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3E71"/>
    <w:rPr>
      <w:rFonts w:eastAsiaTheme="majorEastAsia" w:cstheme="majorBidi"/>
      <w:color w:val="2F5496" w:themeColor="accent1" w:themeShade="BF"/>
      <w:kern w:val="0"/>
      <w:sz w:val="28"/>
      <w:szCs w:val="28"/>
      <w:lang w:eastAsia="en-US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E71"/>
    <w:rPr>
      <w:rFonts w:eastAsiaTheme="majorEastAsia" w:cstheme="majorBidi"/>
      <w:i/>
      <w:iCs/>
      <w:color w:val="2F5496" w:themeColor="accent1" w:themeShade="BF"/>
      <w:kern w:val="0"/>
      <w:sz w:val="20"/>
      <w:szCs w:val="22"/>
      <w:lang w:eastAsia="en-US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E71"/>
    <w:rPr>
      <w:rFonts w:eastAsiaTheme="majorEastAsia" w:cstheme="majorBidi"/>
      <w:color w:val="2F5496" w:themeColor="accent1" w:themeShade="BF"/>
      <w:kern w:val="0"/>
      <w:sz w:val="20"/>
      <w:szCs w:val="22"/>
      <w:lang w:eastAsia="en-US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3E71"/>
    <w:rPr>
      <w:rFonts w:eastAsiaTheme="majorEastAsia" w:cstheme="majorBidi"/>
      <w:i/>
      <w:iCs/>
      <w:color w:val="595959" w:themeColor="text1" w:themeTint="A6"/>
      <w:kern w:val="0"/>
      <w:sz w:val="20"/>
      <w:szCs w:val="22"/>
      <w:lang w:eastAsia="en-U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E71"/>
    <w:rPr>
      <w:rFonts w:eastAsiaTheme="majorEastAsia" w:cstheme="majorBidi"/>
      <w:color w:val="595959" w:themeColor="text1" w:themeTint="A6"/>
      <w:kern w:val="0"/>
      <w:sz w:val="20"/>
      <w:szCs w:val="22"/>
      <w:lang w:eastAsia="en-US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E71"/>
    <w:rPr>
      <w:rFonts w:eastAsiaTheme="majorEastAsia" w:cstheme="majorBidi"/>
      <w:i/>
      <w:iCs/>
      <w:color w:val="272727" w:themeColor="text1" w:themeTint="D8"/>
      <w:kern w:val="0"/>
      <w:sz w:val="20"/>
      <w:szCs w:val="22"/>
      <w:lang w:eastAsia="en-US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E71"/>
    <w:rPr>
      <w:rFonts w:eastAsiaTheme="majorEastAsia" w:cstheme="majorBidi"/>
      <w:color w:val="272727" w:themeColor="text1" w:themeTint="D8"/>
      <w:kern w:val="0"/>
      <w:sz w:val="20"/>
      <w:szCs w:val="22"/>
      <w:lang w:eastAsia="en-U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93E7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3E7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93E71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3E7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93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3E71"/>
    <w:rPr>
      <w:rFonts w:ascii="Arial" w:eastAsiaTheme="minorHAnsi" w:hAnsi="Arial"/>
      <w:i/>
      <w:iCs/>
      <w:color w:val="404040" w:themeColor="text1" w:themeTint="BF"/>
      <w:kern w:val="0"/>
      <w:sz w:val="20"/>
      <w:szCs w:val="22"/>
      <w:lang w:eastAsia="en-US"/>
      <w14:ligatures w14:val="none"/>
    </w:rPr>
  </w:style>
  <w:style w:type="paragraph" w:styleId="Prrafodelista">
    <w:name w:val="List Paragraph"/>
    <w:basedOn w:val="Normal"/>
    <w:uiPriority w:val="34"/>
    <w:qFormat/>
    <w:rsid w:val="00893E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3E7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3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3E71"/>
    <w:rPr>
      <w:rFonts w:ascii="Arial" w:eastAsiaTheme="minorHAnsi" w:hAnsi="Arial"/>
      <w:i/>
      <w:iCs/>
      <w:color w:val="2F5496" w:themeColor="accent1" w:themeShade="BF"/>
      <w:kern w:val="0"/>
      <w:sz w:val="20"/>
      <w:szCs w:val="22"/>
      <w:lang w:eastAsia="en-US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93E71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93E7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3E71"/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93E7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E71"/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893E71"/>
    <w:pPr>
      <w:widowControl w:val="0"/>
      <w:autoSpaceDE w:val="0"/>
      <w:autoSpaceDN w:val="0"/>
      <w:spacing w:before="0" w:after="0" w:line="240" w:lineRule="auto"/>
      <w:ind w:firstLine="0"/>
      <w:jc w:val="left"/>
    </w:pPr>
    <w:rPr>
      <w:rFonts w:ascii="Informal Roman" w:eastAsia="Informal Roman" w:hAnsi="Informal Roman" w:cs="Informal Roman"/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93E71"/>
    <w:rPr>
      <w:rFonts w:ascii="Informal Roman" w:eastAsia="Informal Roman" w:hAnsi="Informal Roman" w:cs="Informal Roman"/>
      <w:kern w:val="0"/>
      <w:sz w:val="19"/>
      <w:szCs w:val="19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844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Carlota Pérez Bustos</dc:creator>
  <cp:keywords/>
  <dc:description/>
  <cp:lastModifiedBy>Carlota Pérez Bustos</cp:lastModifiedBy>
  <cp:revision>2</cp:revision>
  <dcterms:created xsi:type="dcterms:W3CDTF">2026-10-10T10:20:00Z</dcterms:created>
  <dcterms:modified xsi:type="dcterms:W3CDTF">2026-10-10T10:38:00Z</dcterms:modified>
</cp:coreProperties>
</file>